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794B2280" w:rsidR="00E40DA0" w:rsidRPr="008C2C1F" w:rsidRDefault="00A1497D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Nota de prensa</w:t>
      </w:r>
    </w:p>
    <w:p w14:paraId="238E3EB6" w14:textId="0668FCE5" w:rsidR="002317EE" w:rsidRPr="008C2C1F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El siguiente paso hacia la electrificación</w:t>
      </w:r>
    </w:p>
    <w:p w14:paraId="04BAA0C8" w14:textId="77777777" w:rsidR="002317EE" w:rsidRPr="008C2C1F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</w:p>
    <w:p w14:paraId="18297B92" w14:textId="1930F163" w:rsidR="00985C7A" w:rsidRPr="008C2C1F" w:rsidRDefault="002317EE" w:rsidP="005D4E8E">
      <w:pPr>
        <w:spacing w:line="360" w:lineRule="auto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John Deere presenta la electrificación y la conectividad para equipos de golf</w:t>
      </w:r>
    </w:p>
    <w:p w14:paraId="05A91552" w14:textId="77777777" w:rsidR="00985C7A" w:rsidRPr="008C2C1F" w:rsidRDefault="00985C7A" w:rsidP="005D4E8E">
      <w:pPr>
        <w:spacing w:line="360" w:lineRule="auto"/>
        <w:jc w:val="both"/>
        <w:rPr>
          <w:rFonts w:ascii="Verdana" w:hAnsi="Verdana"/>
          <w:b/>
          <w:bCs/>
        </w:rPr>
      </w:pPr>
    </w:p>
    <w:p w14:paraId="1A94BF0E" w14:textId="77777777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>John Deere está ampliando la electrificación y la conectividad a sus equipos de golf, ofreciendo a los clientes la posibilidad de ser más sostenibles y respetuosos con el medioambiente sin comprometer el rendimiento.</w:t>
      </w:r>
    </w:p>
    <w:p w14:paraId="577230D6" w14:textId="4D6DA833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>La nueva serie de modelos totalmente eléctricos e híbridos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 de John Deere elimina por completo el uso de combustible y aceite de motor, mientras que la conectividad se está introduciendo de serie en toda la gama de equipos de golf.</w:t>
      </w:r>
    </w:p>
    <w:p w14:paraId="02DA7A28" w14:textId="77777777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</w:p>
    <w:p w14:paraId="52C856C9" w14:textId="77777777" w:rsidR="002317EE" w:rsidRPr="004C65BB" w:rsidRDefault="002317EE" w:rsidP="005D4E8E">
      <w:pPr>
        <w:spacing w:line="360" w:lineRule="auto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 xml:space="preserve">Nuevas máquinas manuales de </w:t>
      </w:r>
      <w:proofErr w:type="spellStart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greens</w:t>
      </w:r>
      <w:proofErr w:type="spellEnd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 xml:space="preserve"> totalmente eléctricas 185 E-</w:t>
      </w:r>
      <w:proofErr w:type="spellStart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Cut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 xml:space="preserve"> </w:t>
      </w:r>
      <w:r w:rsidRPr="004C65BB">
        <w:rPr>
          <w:rFonts w:ascii="Verdana" w:hAnsi="Verdana"/>
          <w:b/>
          <w:bCs/>
          <w:sz w:val="21"/>
          <w:szCs w:val="21"/>
        </w:rPr>
        <w:t xml:space="preserve">y 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225 E-</w:t>
      </w:r>
      <w:proofErr w:type="spellStart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Cut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>TM</w:t>
      </w:r>
      <w:proofErr w:type="spellEnd"/>
    </w:p>
    <w:p w14:paraId="6C51FCDB" w14:textId="02ED2F70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 xml:space="preserve">Con un funcionamiento prácticamente silencioso, la máquina manual de </w:t>
      </w:r>
      <w:proofErr w:type="spellStart"/>
      <w:r w:rsidRPr="004C65BB">
        <w:rPr>
          <w:rFonts w:ascii="Verdana" w:hAnsi="Verdana"/>
          <w:sz w:val="21"/>
          <w:szCs w:val="21"/>
        </w:rPr>
        <w:t>greens</w:t>
      </w:r>
      <w:proofErr w:type="spellEnd"/>
      <w:r w:rsidRPr="004C65BB">
        <w:rPr>
          <w:rFonts w:ascii="Verdana" w:hAnsi="Verdana"/>
          <w:sz w:val="21"/>
          <w:szCs w:val="21"/>
        </w:rPr>
        <w:t xml:space="preserve">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 de John Deere amplía el intervalo operativo, permitiendo al operador trabajar a primera hora de la mañana o a última hora de la tarde. Elimina por completo el uso de combustible y aceite de motor. Uno de los componentes principales de la electrificación es una batería fiable. Las máquinas manuales de </w:t>
      </w:r>
      <w:proofErr w:type="spellStart"/>
      <w:r w:rsidRPr="004C65BB">
        <w:rPr>
          <w:rFonts w:ascii="Verdana" w:hAnsi="Verdana"/>
          <w:sz w:val="21"/>
          <w:szCs w:val="21"/>
        </w:rPr>
        <w:t>greens</w:t>
      </w:r>
      <w:proofErr w:type="spellEnd"/>
      <w:r w:rsidRPr="004C65BB">
        <w:rPr>
          <w:rFonts w:ascii="Verdana" w:hAnsi="Verdana"/>
          <w:sz w:val="21"/>
          <w:szCs w:val="21"/>
        </w:rPr>
        <w:t xml:space="preserve">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 de John Deere pueden cubrir aproximadamente 4.650 m² con una sola carga gracias a su batería de litio de 58 V y 3,2 kWh. </w:t>
      </w:r>
    </w:p>
    <w:p w14:paraId="285D2C35" w14:textId="20CC9E3F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 xml:space="preserve">Ambas máquinas ofrecen una pantalla avanzada </w:t>
      </w:r>
      <w:proofErr w:type="spellStart"/>
      <w:r w:rsidRPr="004C65BB">
        <w:rPr>
          <w:rFonts w:ascii="Verdana" w:hAnsi="Verdana"/>
          <w:sz w:val="21"/>
          <w:szCs w:val="21"/>
        </w:rPr>
        <w:t>TechControl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, que permite a los </w:t>
      </w:r>
      <w:r w:rsidR="008C2C1F" w:rsidRPr="004C65BB">
        <w:rPr>
          <w:rFonts w:ascii="Verdana" w:hAnsi="Verdana"/>
          <w:sz w:val="21"/>
          <w:szCs w:val="21"/>
        </w:rPr>
        <w:t>responsables de mantenimiento</w:t>
      </w:r>
      <w:r w:rsidRPr="004C65BB">
        <w:rPr>
          <w:rFonts w:ascii="Verdana" w:hAnsi="Verdana"/>
          <w:sz w:val="21"/>
          <w:szCs w:val="21"/>
        </w:rPr>
        <w:t xml:space="preserve"> seleccionar su frecuencia de corte en función de la velocidad de avance y de los molinetes. Además, incorporan 10 posiciones de altura del manillar, así como un ajuste longitudinal y un modo de pasada de limpieza exclusivo del sector para disfrutar de la máxima comodidad y facilidad al trabajar y al girar. La 185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 tiene una anchura de corte de 46 cm, mientras que el modelo más grande, la 225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>, realiza un corte de 56 cm.</w:t>
      </w:r>
    </w:p>
    <w:p w14:paraId="205E6089" w14:textId="2B4E5164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 xml:space="preserve"> </w:t>
      </w:r>
    </w:p>
    <w:p w14:paraId="045CED3B" w14:textId="77777777" w:rsidR="005D4E8E" w:rsidRPr="004C65BB" w:rsidRDefault="005D4E8E" w:rsidP="005D4E8E">
      <w:pPr>
        <w:spacing w:line="360" w:lineRule="auto"/>
        <w:rPr>
          <w:rFonts w:ascii="Verdana" w:hAnsi="Verdana"/>
          <w:b/>
          <w:bCs/>
          <w:color w:val="000000" w:themeColor="text1"/>
          <w:sz w:val="21"/>
          <w:szCs w:val="21"/>
        </w:rPr>
      </w:pPr>
    </w:p>
    <w:p w14:paraId="5FAA2EBA" w14:textId="266B7B10" w:rsidR="002317EE" w:rsidRPr="004C65BB" w:rsidRDefault="002317EE" w:rsidP="005D4E8E">
      <w:pPr>
        <w:spacing w:line="360" w:lineRule="auto"/>
        <w:rPr>
          <w:rFonts w:ascii="Verdana" w:hAnsi="Verdana"/>
          <w:b/>
          <w:bCs/>
          <w:color w:val="000000" w:themeColor="text1"/>
          <w:sz w:val="21"/>
          <w:szCs w:val="21"/>
        </w:rPr>
      </w:pPr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Nuevas máquinas de calles híbridas 6700A E-</w:t>
      </w:r>
      <w:proofErr w:type="spellStart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Cut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 xml:space="preserve"> 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y 7700A E-</w:t>
      </w:r>
      <w:proofErr w:type="spellStart"/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Cut</w:t>
      </w:r>
      <w:r w:rsidRPr="004C65BB">
        <w:rPr>
          <w:rFonts w:ascii="Verdana" w:hAnsi="Verdana"/>
          <w:b/>
          <w:bCs/>
          <w:color w:val="000000" w:themeColor="text1"/>
          <w:sz w:val="21"/>
          <w:szCs w:val="21"/>
          <w:vertAlign w:val="superscript"/>
        </w:rPr>
        <w:t>TM</w:t>
      </w:r>
      <w:proofErr w:type="spellEnd"/>
    </w:p>
    <w:p w14:paraId="1ECF6FF0" w14:textId="77777777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 xml:space="preserve">Los molinetes eléctricos de la nueva máquina de calles híbrida John Deere ahorran hasta un 30 % de combustible y reducen el ruido sin comprometer el rendimiento. Esta máquina amplía la gama de productos y ofrece una manera de trabajar más respetuosa con el medioambiente. </w:t>
      </w:r>
    </w:p>
    <w:p w14:paraId="1705FFEA" w14:textId="23285366" w:rsidR="002317EE" w:rsidRPr="004C65BB" w:rsidRDefault="002317EE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  <w:r w:rsidRPr="004C65BB">
        <w:rPr>
          <w:rFonts w:ascii="Verdana" w:hAnsi="Verdana"/>
          <w:sz w:val="21"/>
          <w:szCs w:val="21"/>
        </w:rPr>
        <w:t>Al eliminar más de 150 puntos de fugas hidráulicas, el riesgo de fugas se minimiza un 90 %. El segado en condiciones difíciles o el</w:t>
      </w:r>
      <w:r w:rsidR="00362415" w:rsidRPr="004C65BB">
        <w:rPr>
          <w:rFonts w:ascii="Verdana" w:hAnsi="Verdana"/>
          <w:sz w:val="21"/>
          <w:szCs w:val="21"/>
        </w:rPr>
        <w:t xml:space="preserve"> </w:t>
      </w:r>
      <w:proofErr w:type="spellStart"/>
      <w:r w:rsidR="00362415" w:rsidRPr="004C65BB">
        <w:rPr>
          <w:rFonts w:ascii="Verdana" w:hAnsi="Verdana"/>
          <w:sz w:val="21"/>
          <w:szCs w:val="21"/>
        </w:rPr>
        <w:t>verticut</w:t>
      </w:r>
      <w:proofErr w:type="spellEnd"/>
      <w:r w:rsidR="00362415" w:rsidRPr="004C65BB">
        <w:rPr>
          <w:rFonts w:ascii="Verdana" w:hAnsi="Verdana"/>
          <w:sz w:val="21"/>
          <w:szCs w:val="21"/>
        </w:rPr>
        <w:t xml:space="preserve"> </w:t>
      </w:r>
      <w:r w:rsidRPr="004C65BB">
        <w:rPr>
          <w:rFonts w:ascii="Verdana" w:hAnsi="Verdana"/>
          <w:sz w:val="21"/>
          <w:szCs w:val="21"/>
        </w:rPr>
        <w:t xml:space="preserve">pueden realizarse sin problemas. La función </w:t>
      </w:r>
      <w:proofErr w:type="spellStart"/>
      <w:r w:rsidRPr="004C65BB">
        <w:rPr>
          <w:rFonts w:ascii="Verdana" w:hAnsi="Verdana"/>
          <w:sz w:val="21"/>
          <w:szCs w:val="21"/>
        </w:rPr>
        <w:t>LoadMatch</w:t>
      </w:r>
      <w:r w:rsidRPr="004C65BB">
        <w:rPr>
          <w:rFonts w:ascii="Verdana" w:hAnsi="Verdana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sz w:val="21"/>
          <w:szCs w:val="21"/>
        </w:rPr>
        <w:t xml:space="preserve"> reduce la velocidad de la máquina cuando se encuentran cargas pesadas en el motor, manteniendo la velocidad de los molinetes y dando prioridad a la calidad. La 6700A E-</w:t>
      </w:r>
      <w:proofErr w:type="spellStart"/>
      <w:r w:rsidRPr="004C65BB">
        <w:rPr>
          <w:rFonts w:ascii="Verdana" w:hAnsi="Verdana"/>
          <w:sz w:val="21"/>
          <w:szCs w:val="21"/>
        </w:rPr>
        <w:t>Cut</w:t>
      </w:r>
      <w:proofErr w:type="spellEnd"/>
      <w:r w:rsidRPr="004C65BB">
        <w:rPr>
          <w:rFonts w:ascii="Verdana" w:hAnsi="Verdana"/>
          <w:sz w:val="21"/>
          <w:szCs w:val="21"/>
        </w:rPr>
        <w:t xml:space="preserve"> es una máquina de calles híbrida de 3 ruedas para una excelente capacidad de maniobra en giros cerrados.</w:t>
      </w:r>
    </w:p>
    <w:p w14:paraId="78298BCB" w14:textId="77777777" w:rsidR="00985C7A" w:rsidRPr="004C65BB" w:rsidRDefault="00985C7A" w:rsidP="005D4E8E">
      <w:pPr>
        <w:spacing w:line="360" w:lineRule="auto"/>
        <w:jc w:val="both"/>
        <w:rPr>
          <w:rFonts w:ascii="Verdana" w:hAnsi="Verdana"/>
          <w:sz w:val="21"/>
          <w:szCs w:val="21"/>
        </w:rPr>
      </w:pPr>
    </w:p>
    <w:p w14:paraId="5C37708C" w14:textId="77777777" w:rsidR="002317EE" w:rsidRPr="004C65BB" w:rsidRDefault="002317EE" w:rsidP="005D4E8E">
      <w:pPr>
        <w:spacing w:line="36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</w:rPr>
      </w:pPr>
      <w:r w:rsidRPr="004C65BB">
        <w:rPr>
          <w:rFonts w:ascii="Verdana" w:hAnsi="Verdana"/>
          <w:b/>
          <w:bCs/>
          <w:color w:val="000000" w:themeColor="text1"/>
          <w:sz w:val="21"/>
          <w:szCs w:val="21"/>
        </w:rPr>
        <w:t>Conectividad de serie para los equipos de golf</w:t>
      </w:r>
    </w:p>
    <w:p w14:paraId="65876600" w14:textId="5597A20A" w:rsidR="002317EE" w:rsidRPr="004C65BB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  <w:sz w:val="21"/>
          <w:szCs w:val="21"/>
        </w:rPr>
      </w:pPr>
      <w:r w:rsidRPr="004C65BB">
        <w:rPr>
          <w:rFonts w:ascii="Verdana" w:hAnsi="Verdana"/>
          <w:color w:val="000000" w:themeColor="text1"/>
          <w:sz w:val="21"/>
          <w:szCs w:val="21"/>
        </w:rPr>
        <w:t xml:space="preserve">Durante muchos años, John Deere ha estado a la vanguardia en materia de conectividad para maquinaria agrícola, y ahora el sector del golf podrá beneficiarse de las ventajas de la conectividad y del John Deere </w:t>
      </w:r>
      <w:proofErr w:type="spellStart"/>
      <w:r w:rsidRPr="004C65BB">
        <w:rPr>
          <w:rFonts w:ascii="Verdana" w:hAnsi="Verdana"/>
          <w:color w:val="000000" w:themeColor="text1"/>
          <w:sz w:val="21"/>
          <w:szCs w:val="21"/>
        </w:rPr>
        <w:t>Operations</w:t>
      </w:r>
      <w:proofErr w:type="spellEnd"/>
      <w:r w:rsidRPr="004C65BB">
        <w:rPr>
          <w:rFonts w:ascii="Verdana" w:hAnsi="Verdana"/>
          <w:color w:val="000000" w:themeColor="text1"/>
          <w:sz w:val="21"/>
          <w:szCs w:val="21"/>
        </w:rPr>
        <w:t xml:space="preserve"> </w:t>
      </w:r>
      <w:proofErr w:type="spellStart"/>
      <w:r w:rsidRPr="004C65BB">
        <w:rPr>
          <w:rFonts w:ascii="Verdana" w:hAnsi="Verdana"/>
          <w:color w:val="000000" w:themeColor="text1"/>
          <w:sz w:val="21"/>
          <w:szCs w:val="21"/>
        </w:rPr>
        <w:t>Center</w:t>
      </w:r>
      <w:r w:rsidRPr="004C65BB">
        <w:rPr>
          <w:rFonts w:ascii="Verdana" w:hAnsi="Verdana"/>
          <w:color w:val="000000" w:themeColor="text1"/>
          <w:sz w:val="21"/>
          <w:szCs w:val="21"/>
          <w:vertAlign w:val="superscript"/>
        </w:rPr>
        <w:t>TM</w:t>
      </w:r>
      <w:proofErr w:type="spellEnd"/>
      <w:r w:rsidRPr="004C65BB">
        <w:rPr>
          <w:rFonts w:ascii="Verdana" w:hAnsi="Verdana"/>
          <w:color w:val="000000" w:themeColor="text1"/>
          <w:sz w:val="21"/>
          <w:szCs w:val="21"/>
        </w:rPr>
        <w:t>. En 2023, John Deere introducirá la conectividad de serie en muchas máquinas de golf. Esta sirve de herramienta de gestión para toda la flota y ofrece un historial con documentación precisa sobre el uso de la máquina, el nivel de combustible y los códigos de diagnóstico. Además, es posible configurar límites al uso. Ambos notifican al usuario si existen casos de un uso sospechoso, aumentando la protección contra robos. E</w:t>
      </w:r>
      <w:r w:rsidR="00362415" w:rsidRPr="004C65BB">
        <w:rPr>
          <w:rFonts w:ascii="Verdana" w:hAnsi="Verdana"/>
          <w:color w:val="000000" w:themeColor="text1"/>
          <w:sz w:val="21"/>
          <w:szCs w:val="21"/>
        </w:rPr>
        <w:t>ste</w:t>
      </w:r>
      <w:r w:rsidRPr="004C65BB">
        <w:rPr>
          <w:rFonts w:ascii="Verdana" w:hAnsi="Verdana"/>
          <w:color w:val="000000" w:themeColor="text1"/>
          <w:sz w:val="21"/>
          <w:szCs w:val="21"/>
        </w:rPr>
        <w:t xml:space="preserve"> software es gratuito tanto </w:t>
      </w:r>
      <w:r w:rsidR="00362415" w:rsidRPr="004C65BB">
        <w:rPr>
          <w:rFonts w:ascii="Verdana" w:hAnsi="Verdana"/>
          <w:color w:val="000000" w:themeColor="text1"/>
          <w:sz w:val="21"/>
          <w:szCs w:val="21"/>
        </w:rPr>
        <w:t>en la</w:t>
      </w:r>
      <w:r w:rsidRPr="004C65BB">
        <w:rPr>
          <w:rFonts w:ascii="Verdana" w:hAnsi="Verdana"/>
          <w:color w:val="000000" w:themeColor="text1"/>
          <w:sz w:val="21"/>
          <w:szCs w:val="21"/>
        </w:rPr>
        <w:t xml:space="preserve"> aplicación móvil como en versión para navegador.</w:t>
      </w:r>
    </w:p>
    <w:p w14:paraId="1661098F" w14:textId="73EA3364" w:rsidR="002317EE" w:rsidRPr="004C65BB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  <w:sz w:val="21"/>
          <w:szCs w:val="21"/>
        </w:rPr>
      </w:pPr>
      <w:r w:rsidRPr="004C65BB">
        <w:rPr>
          <w:rFonts w:ascii="Verdana" w:hAnsi="Verdana"/>
          <w:color w:val="000000" w:themeColor="text1"/>
          <w:sz w:val="21"/>
          <w:szCs w:val="21"/>
        </w:rPr>
        <w:t>Con sus nuevos equipos de golf, John Deere está a la vanguardia en el campo de la conectividad. La última tecnología y la fiabilidad conocida de las máquinas John Deere continuarán aumentando la eficiencia y la calidad en el futuro.</w:t>
      </w:r>
    </w:p>
    <w:p w14:paraId="52778C99" w14:textId="77777777" w:rsidR="002317EE" w:rsidRPr="004C65BB" w:rsidRDefault="002317EE" w:rsidP="002317EE">
      <w:pPr>
        <w:pStyle w:val="NormalWeb"/>
        <w:jc w:val="both"/>
        <w:rPr>
          <w:rStyle w:val="normaltextrun"/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</w:p>
    <w:sectPr w:rsidR="002317EE" w:rsidRPr="004C65BB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BBF7" w14:textId="77777777" w:rsidR="00792AC7" w:rsidRDefault="00792AC7">
      <w:r>
        <w:separator/>
      </w:r>
    </w:p>
  </w:endnote>
  <w:endnote w:type="continuationSeparator" w:id="0">
    <w:p w14:paraId="190FFA56" w14:textId="77777777" w:rsidR="00792AC7" w:rsidRDefault="00792AC7">
      <w:r>
        <w:continuationSeparator/>
      </w:r>
    </w:p>
  </w:endnote>
  <w:endnote w:type="continuationNotice" w:id="1">
    <w:p w14:paraId="419B2C93" w14:textId="77777777" w:rsidR="00792AC7" w:rsidRDefault="00792A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009B0E4A" w:rsidR="00515A0D" w:rsidRPr="00515A0D" w:rsidRDefault="008C2C1F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009B0E4A" w:rsidR="00515A0D" w:rsidRPr="00515A0D" w:rsidRDefault="008C2C1F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4C65BB" w:rsidRDefault="00515A0D" w:rsidP="00582A11">
    <w:pPr>
      <w:jc w:val="center"/>
      <w:rPr>
        <w:rFonts w:cs="Arial"/>
        <w:color w:val="000000"/>
        <w:sz w:val="14"/>
        <w:szCs w:val="14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46D790F0" w:rsidR="00515A0D" w:rsidRPr="00515A0D" w:rsidRDefault="008C2C1F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46D790F0" w:rsidR="00515A0D" w:rsidRPr="00515A0D" w:rsidRDefault="008C2C1F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2C1F">
      <w:rPr>
        <w:rFonts w:cs="Arial"/>
        <w:color w:val="000000"/>
        <w:sz w:val="14"/>
        <w:szCs w:val="14"/>
        <w:lang w:val="en-US"/>
      </w:rPr>
      <w:t xml:space="preserve">John Deere Walldorf GmbH &amp; Co. </w:t>
    </w:r>
    <w:r w:rsidRPr="004C65BB">
      <w:rPr>
        <w:rFonts w:cs="Arial"/>
        <w:color w:val="000000"/>
        <w:sz w:val="14"/>
        <w:szCs w:val="14"/>
        <w:lang w:val="de-DE"/>
      </w:rPr>
      <w:t xml:space="preserve">KG </w:t>
    </w:r>
    <w:r w:rsidRPr="004C65BB">
      <w:rPr>
        <w:rFonts w:cs="Arial"/>
        <w:sz w:val="14"/>
        <w:szCs w:val="14"/>
        <w:lang w:val="de-DE"/>
      </w:rPr>
      <w:t>•</w:t>
    </w:r>
    <w:r w:rsidRPr="004C65BB">
      <w:rPr>
        <w:rFonts w:cs="Arial"/>
        <w:color w:val="000000"/>
        <w:sz w:val="14"/>
        <w:szCs w:val="14"/>
        <w:lang w:val="de-DE"/>
      </w:rPr>
      <w:t xml:space="preserve"> Sitz Walldorf </w:t>
    </w:r>
    <w:r w:rsidRPr="004C65BB">
      <w:rPr>
        <w:rFonts w:cs="Arial"/>
        <w:sz w:val="14"/>
        <w:szCs w:val="14"/>
        <w:lang w:val="de-DE"/>
      </w:rPr>
      <w:t>•</w:t>
    </w:r>
    <w:r w:rsidRPr="004C65BB">
      <w:rPr>
        <w:rFonts w:cs="Arial"/>
        <w:color w:val="000000"/>
        <w:sz w:val="14"/>
        <w:szCs w:val="14"/>
        <w:lang w:val="de-DE"/>
      </w:rPr>
      <w:t xml:space="preserve"> Amtsgericht Mannheim HRA 707944</w:t>
    </w:r>
  </w:p>
  <w:p w14:paraId="24553007" w14:textId="77777777" w:rsidR="00582A11" w:rsidRPr="004C65BB" w:rsidRDefault="00582A11" w:rsidP="00582A11">
    <w:pPr>
      <w:jc w:val="center"/>
      <w:rPr>
        <w:rFonts w:cs="Arial"/>
        <w:color w:val="000000"/>
        <w:sz w:val="14"/>
        <w:szCs w:val="14"/>
        <w:lang w:val="de-DE"/>
      </w:rPr>
    </w:pPr>
    <w:r w:rsidRPr="004C65BB">
      <w:rPr>
        <w:rFonts w:cs="Arial"/>
        <w:color w:val="000000"/>
        <w:sz w:val="14"/>
        <w:szCs w:val="14"/>
        <w:lang w:val="de-DE"/>
      </w:rPr>
      <w:t xml:space="preserve">Persönlich haftende Gesellschafterin: John Deere Walldorf GmbH, Sitz Luxemburg, </w:t>
    </w:r>
    <w:r w:rsidRPr="004C65BB">
      <w:rPr>
        <w:rFonts w:cs="Arial"/>
        <w:sz w:val="14"/>
        <w:szCs w:val="14"/>
        <w:lang w:val="de-DE"/>
      </w:rPr>
      <w:t xml:space="preserve">Handelsregister Nr.: </w:t>
    </w:r>
    <w:r w:rsidRPr="004C65BB">
      <w:rPr>
        <w:rFonts w:cs="Arial"/>
        <w:color w:val="000000"/>
        <w:sz w:val="14"/>
        <w:szCs w:val="14"/>
        <w:lang w:val="de-DE"/>
      </w:rPr>
      <w:t>R.C.S. Luxemburg B220944</w:t>
    </w:r>
  </w:p>
  <w:p w14:paraId="73203D0E" w14:textId="77777777" w:rsidR="00582A11" w:rsidRPr="004C65BB" w:rsidRDefault="00582A11" w:rsidP="00582A11">
    <w:pPr>
      <w:pStyle w:val="Footer"/>
      <w:rPr>
        <w:sz w:val="20"/>
        <w:szCs w:val="18"/>
        <w:lang w:val="de-DE"/>
      </w:rPr>
    </w:pPr>
    <w:r w:rsidRPr="004C65BB">
      <w:rPr>
        <w:rFonts w:cs="Arial"/>
        <w:color w:val="000000" w:themeColor="text1"/>
        <w:sz w:val="14"/>
        <w:szCs w:val="14"/>
        <w:lang w:val="de-DE"/>
      </w:rPr>
      <w:t>Geschäftsführer: Christian Eichholtz, Markwart von Pentz, Alejandro Sáyago, Günther Sucietto, Dr. Wolfgang Voß</w:t>
    </w:r>
  </w:p>
  <w:p w14:paraId="0A2A9013" w14:textId="77777777" w:rsidR="00C92C77" w:rsidRPr="004C65BB" w:rsidRDefault="00C92C77" w:rsidP="00287085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E2C6" w14:textId="77777777" w:rsidR="00792AC7" w:rsidRDefault="00792AC7">
      <w:r>
        <w:separator/>
      </w:r>
    </w:p>
  </w:footnote>
  <w:footnote w:type="continuationSeparator" w:id="0">
    <w:p w14:paraId="557E4093" w14:textId="77777777" w:rsidR="00792AC7" w:rsidRDefault="00792AC7">
      <w:r>
        <w:continuationSeparator/>
      </w:r>
    </w:p>
  </w:footnote>
  <w:footnote w:type="continuationNotice" w:id="1">
    <w:p w14:paraId="3AFAE883" w14:textId="77777777" w:rsidR="00792AC7" w:rsidRDefault="00792A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Heading2"/>
            <w:ind w:hanging="142"/>
          </w:pPr>
        </w:p>
      </w:tc>
    </w:tr>
  </w:tbl>
  <w:p w14:paraId="0BDF5DE1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4144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Header"/>
            <w:ind w:left="-142" w:right="-533"/>
            <w:rPr>
              <w:szCs w:val="18"/>
            </w:rPr>
          </w:pPr>
          <w:r w:rsidRPr="008C2C1F">
            <w:rPr>
              <w:szCs w:val="18"/>
              <w:lang w:val="en-US"/>
            </w:rPr>
            <w:t xml:space="preserve">John Deere Walldorf GmbH &amp; Co. </w:t>
          </w:r>
          <w:r>
            <w:rPr>
              <w:szCs w:val="18"/>
            </w:rPr>
            <w:t>KG</w:t>
          </w:r>
        </w:p>
        <w:p w14:paraId="75AEFCA1" w14:textId="72A75A5D" w:rsidR="00F34E40" w:rsidRPr="00F34E40" w:rsidRDefault="0052642B" w:rsidP="00F34E40">
          <w:pPr>
            <w:pStyle w:val="Header"/>
            <w:ind w:left="-142" w:right="-533"/>
            <w:rPr>
              <w:szCs w:val="18"/>
            </w:rPr>
          </w:pPr>
          <w:proofErr w:type="spellStart"/>
          <w:r>
            <w:rPr>
              <w:szCs w:val="18"/>
            </w:rPr>
            <w:t>Impexstraße</w:t>
          </w:r>
          <w:proofErr w:type="spellEnd"/>
          <w:r>
            <w:rPr>
              <w:szCs w:val="18"/>
            </w:rPr>
            <w:t xml:space="preserve"> 3</w:t>
          </w:r>
        </w:p>
        <w:p w14:paraId="551EA712" w14:textId="77777777" w:rsidR="00F34E40" w:rsidRPr="00F34E40" w:rsidRDefault="00F34E40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Alemania </w:t>
          </w:r>
        </w:p>
        <w:p w14:paraId="0B5B6988" w14:textId="77777777" w:rsidR="00F34E40" w:rsidRPr="00F34E40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8C2C1F" w:rsidRDefault="00F34E40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>Especialista en relaciones públicas</w:t>
          </w:r>
        </w:p>
        <w:p w14:paraId="2D5C64E8" w14:textId="1A85510E" w:rsidR="00F34E40" w:rsidRPr="008C2C1F" w:rsidRDefault="007C6199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 xml:space="preserve">Finn </w:t>
          </w:r>
          <w:proofErr w:type="spellStart"/>
          <w:r>
            <w:rPr>
              <w:b/>
              <w:szCs w:val="18"/>
            </w:rPr>
            <w:t>Niclas</w:t>
          </w:r>
          <w:proofErr w:type="spellEnd"/>
          <w:r>
            <w:rPr>
              <w:b/>
              <w:szCs w:val="18"/>
            </w:rPr>
            <w:t xml:space="preserve"> Marien</w:t>
          </w:r>
        </w:p>
        <w:p w14:paraId="60F3919F" w14:textId="7CE019CB" w:rsidR="005750F6" w:rsidRPr="00671591" w:rsidRDefault="00671591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Tel.: +49 6227 7873 468</w:t>
          </w:r>
        </w:p>
        <w:p w14:paraId="78311A79" w14:textId="23DF1EAA" w:rsidR="00F34E40" w:rsidRPr="003042CA" w:rsidRDefault="00F34E4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Correo electrónico: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1CC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17EE"/>
    <w:rsid w:val="00233270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2415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4AD6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47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518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5BB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4E8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2AC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2C1F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5C7A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0974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5B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E4B2F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AC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9D9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23E82CD"/>
    <w:rsid w:val="041F64E4"/>
    <w:rsid w:val="059A0975"/>
    <w:rsid w:val="071275C3"/>
    <w:rsid w:val="097600E6"/>
    <w:rsid w:val="09B7F48F"/>
    <w:rsid w:val="0BED6ECA"/>
    <w:rsid w:val="0D47E44A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AA1669"/>
    <w:rsid w:val="21C76F30"/>
    <w:rsid w:val="2243095E"/>
    <w:rsid w:val="225CF779"/>
    <w:rsid w:val="24EE27EB"/>
    <w:rsid w:val="25AB01A1"/>
    <w:rsid w:val="25DDC6B9"/>
    <w:rsid w:val="2AFCBF27"/>
    <w:rsid w:val="2DAE6F09"/>
    <w:rsid w:val="2DD893CC"/>
    <w:rsid w:val="30BB3C69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A3691AB"/>
    <w:rsid w:val="6C0A715B"/>
    <w:rsid w:val="6C4063D0"/>
    <w:rsid w:val="70ABAE14"/>
    <w:rsid w:val="712758E3"/>
    <w:rsid w:val="733F0EC5"/>
    <w:rsid w:val="75A641D4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  <w:rPr>
      <w:rFonts w:ascii="Times New Roman" w:hAnsi="Times New Roma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Carr Quinn J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Lenge Ralf</DisplayName>
        <AccountId>6</AccountId>
        <AccountType/>
      </UserInfo>
      <UserInfo>
        <DisplayName>Holzschneider Saskia</DisplayName>
        <AccountId>19</AccountId>
        <AccountType/>
      </UserInfo>
      <UserInfo>
        <DisplayName>Marien Finn N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1" ma:contentTypeDescription="Create a new document." ma:contentTypeScope="" ma:versionID="08496369dd96fbb6119119f0a54bbafc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3cc2b9c309ff1ad2a87542a1700b3b70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2.xml><?xml version="1.0" encoding="utf-8"?>
<ds:datastoreItem xmlns:ds="http://schemas.openxmlformats.org/officeDocument/2006/customXml" ds:itemID="{8BD4A597-2474-4AE4-9D57-6F9B7D62A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4</TotalTime>
  <Pages>2</Pages>
  <Words>534</Words>
  <Characters>3049</Characters>
  <Application>Microsoft Office Word</Application>
  <DocSecurity>0</DocSecurity>
  <Lines>25</Lines>
  <Paragraphs>7</Paragraphs>
  <ScaleCrop>false</ScaleCrop>
  <Company>Deere &amp; Company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Dominika Drygas</cp:lastModifiedBy>
  <cp:revision>3</cp:revision>
  <cp:lastPrinted>2023-03-10T12:53:00Z</cp:lastPrinted>
  <dcterms:created xsi:type="dcterms:W3CDTF">2023-03-24T13:46:00Z</dcterms:created>
  <dcterms:modified xsi:type="dcterms:W3CDTF">2023-03-24T14:03:00Z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2023-03-24T13:45:48Z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0210bba9-0d84-45a6-b9a0-50ea411a5846</vt:lpwstr>
  </property>
  <property fmtid="{D5CDD505-2E9C-101B-9397-08002B2CF9AE}" pid="10" name="MSIP_Label_029374dd-2437-4816-8d63-bf9cc1b578e5_ContentBits">
    <vt:lpwstr>2</vt:lpwstr>
  </property>
</Properties>
</file>